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34" w:type="dxa"/>
        <w:tblCellSpacing w:w="0" w:type="dxa"/>
        <w:tblCellMar>
          <w:left w:w="0" w:type="dxa"/>
          <w:right w:w="0" w:type="dxa"/>
        </w:tblCellMar>
        <w:tblLook w:val="04A0" w:firstRow="1" w:lastRow="0" w:firstColumn="1" w:lastColumn="0" w:noHBand="0" w:noVBand="1"/>
      </w:tblPr>
      <w:tblGrid>
        <w:gridCol w:w="3714"/>
        <w:gridCol w:w="20"/>
      </w:tblGrid>
      <w:tr w:rsidR="009E4E37" w:rsidRPr="009E4E37" w:rsidTr="009E4E37">
        <w:trPr>
          <w:trHeight w:val="300"/>
          <w:tblCellSpacing w:w="0" w:type="dxa"/>
        </w:trPr>
        <w:tc>
          <w:tcPr>
            <w:tcW w:w="0" w:type="auto"/>
            <w:hideMark/>
          </w:tcPr>
          <w:p w:rsidR="009E4E37" w:rsidRPr="009E4E37" w:rsidRDefault="009E4E37" w:rsidP="009E4E37">
            <w:pPr>
              <w:spacing w:before="100" w:beforeAutospacing="1" w:after="100" w:afterAutospacing="1" w:line="240" w:lineRule="auto"/>
              <w:rPr>
                <w:rFonts w:ascii="Tahoma" w:eastAsia="Times New Roman" w:hAnsi="Tahoma" w:cs="Tahoma"/>
                <w:sz w:val="17"/>
                <w:szCs w:val="17"/>
                <w:lang w:eastAsia="es-PE"/>
              </w:rPr>
            </w:pPr>
            <w:r w:rsidRPr="009E4E37">
              <w:rPr>
                <w:rFonts w:ascii="Tahoma" w:eastAsia="Times New Roman" w:hAnsi="Tahoma" w:cs="Tahoma"/>
                <w:b/>
                <w:bCs/>
                <w:color w:val="349729"/>
                <w:sz w:val="17"/>
                <w:szCs w:val="17"/>
                <w:lang w:eastAsia="es-PE"/>
              </w:rPr>
              <w:t>Acuerdos de Junta de Accionistas 2011</w:t>
            </w:r>
          </w:p>
        </w:tc>
        <w:tc>
          <w:tcPr>
            <w:tcW w:w="20" w:type="dxa"/>
            <w:vAlign w:val="center"/>
            <w:hideMark/>
          </w:tcPr>
          <w:p w:rsidR="009E4E37" w:rsidRPr="009E4E37" w:rsidRDefault="009E4E37" w:rsidP="009E4E37">
            <w:pPr>
              <w:spacing w:after="0" w:line="240" w:lineRule="auto"/>
              <w:rPr>
                <w:rFonts w:ascii="Tahoma" w:eastAsia="Times New Roman" w:hAnsi="Tahoma" w:cs="Tahoma"/>
                <w:sz w:val="17"/>
                <w:szCs w:val="17"/>
                <w:lang w:eastAsia="es-PE"/>
              </w:rPr>
            </w:pPr>
          </w:p>
        </w:tc>
      </w:tr>
      <w:tr w:rsidR="009E4E37" w:rsidRPr="009E4E37" w:rsidTr="009E4E37">
        <w:trPr>
          <w:tblCellSpacing w:w="0" w:type="dxa"/>
        </w:trPr>
        <w:tc>
          <w:tcPr>
            <w:tcW w:w="0" w:type="auto"/>
            <w:vAlign w:val="center"/>
            <w:hideMark/>
          </w:tcPr>
          <w:p w:rsidR="009E4E37" w:rsidRPr="009E4E37" w:rsidRDefault="009E4E37" w:rsidP="009E4E37">
            <w:pPr>
              <w:spacing w:before="100" w:beforeAutospacing="1" w:after="100" w:afterAutospacing="1" w:line="240" w:lineRule="auto"/>
              <w:jc w:val="both"/>
              <w:rPr>
                <w:rFonts w:ascii="Tahoma" w:eastAsia="Times New Roman" w:hAnsi="Tahoma" w:cs="Tahoma"/>
                <w:sz w:val="17"/>
                <w:szCs w:val="17"/>
                <w:lang w:eastAsia="es-PE"/>
              </w:rPr>
            </w:pPr>
            <w:r w:rsidRPr="009E4E37">
              <w:rPr>
                <w:rFonts w:ascii="Tahoma" w:eastAsia="Times New Roman" w:hAnsi="Tahoma" w:cs="Tahoma"/>
                <w:sz w:val="17"/>
                <w:szCs w:val="17"/>
                <w:lang w:eastAsia="es-PE"/>
              </w:rPr>
              <w:br/>
              <w:t>Estimado señor accionista:</w:t>
            </w:r>
            <w:r w:rsidRPr="009E4E37">
              <w:rPr>
                <w:rFonts w:ascii="Tahoma" w:eastAsia="Times New Roman" w:hAnsi="Tahoma" w:cs="Tahoma"/>
                <w:sz w:val="17"/>
                <w:szCs w:val="17"/>
                <w:lang w:eastAsia="es-PE"/>
              </w:rPr>
              <w:br/>
              <w:t xml:space="preserve">En la Junta General Obligatoria Anual de Accionistas de </w:t>
            </w:r>
            <w:proofErr w:type="spellStart"/>
            <w:r w:rsidRPr="009E4E37">
              <w:rPr>
                <w:rFonts w:ascii="Tahoma" w:eastAsia="Times New Roman" w:hAnsi="Tahoma" w:cs="Tahoma"/>
                <w:sz w:val="17"/>
                <w:szCs w:val="17"/>
                <w:lang w:eastAsia="es-PE"/>
              </w:rPr>
              <w:t>Ferreyros</w:t>
            </w:r>
            <w:proofErr w:type="spellEnd"/>
            <w:r w:rsidRPr="009E4E37">
              <w:rPr>
                <w:rFonts w:ascii="Tahoma" w:eastAsia="Times New Roman" w:hAnsi="Tahoma" w:cs="Tahoma"/>
                <w:sz w:val="17"/>
                <w:szCs w:val="17"/>
                <w:lang w:eastAsia="es-PE"/>
              </w:rPr>
              <w:t xml:space="preserve"> S.A.A. celebrada el día 31 de marzo de 2011, se aprobaron los siguientes temas de agenda:</w:t>
            </w:r>
          </w:p>
          <w:p w:rsidR="009E4E37" w:rsidRPr="009E4E37" w:rsidRDefault="009E4E37" w:rsidP="009E4E37">
            <w:pPr>
              <w:spacing w:before="100" w:beforeAutospacing="1" w:after="100" w:afterAutospacing="1" w:line="240" w:lineRule="auto"/>
              <w:jc w:val="both"/>
              <w:rPr>
                <w:rFonts w:ascii="Tahoma" w:eastAsia="Times New Roman" w:hAnsi="Tahoma" w:cs="Tahoma"/>
                <w:sz w:val="17"/>
                <w:szCs w:val="17"/>
                <w:lang w:eastAsia="es-PE"/>
              </w:rPr>
            </w:pPr>
            <w:r w:rsidRPr="009E4E37">
              <w:rPr>
                <w:rFonts w:ascii="Tahoma" w:eastAsia="Times New Roman" w:hAnsi="Tahoma" w:cs="Tahoma"/>
                <w:sz w:val="17"/>
                <w:szCs w:val="17"/>
                <w:lang w:eastAsia="es-PE"/>
              </w:rPr>
              <w:t>1. Examen y aprobación de la Memoria 2010 que incluye el análisis y discusión de los EE.FF.</w:t>
            </w:r>
          </w:p>
          <w:p w:rsidR="009E4E37" w:rsidRPr="009E4E37" w:rsidRDefault="009E4E37" w:rsidP="009E4E37">
            <w:pPr>
              <w:spacing w:before="100" w:beforeAutospacing="1" w:after="100" w:afterAutospacing="1" w:line="240" w:lineRule="auto"/>
              <w:jc w:val="both"/>
              <w:rPr>
                <w:rFonts w:ascii="Tahoma" w:eastAsia="Times New Roman" w:hAnsi="Tahoma" w:cs="Tahoma"/>
                <w:sz w:val="17"/>
                <w:szCs w:val="17"/>
                <w:lang w:eastAsia="es-PE"/>
              </w:rPr>
            </w:pPr>
            <w:r w:rsidRPr="009E4E37">
              <w:rPr>
                <w:rFonts w:ascii="Tahoma" w:eastAsia="Times New Roman" w:hAnsi="Tahoma" w:cs="Tahoma"/>
                <w:sz w:val="17"/>
                <w:szCs w:val="17"/>
                <w:lang w:eastAsia="es-PE"/>
              </w:rPr>
              <w:t>2. Distribución de utilidades correspondientes al Ejercicio 2010. Se aprobó pagar un dividendo en efectivo equivalente al 6% del valor nominal de las acciones, por S/. 31’857,670.00.</w:t>
            </w:r>
          </w:p>
          <w:p w:rsidR="009E4E37" w:rsidRPr="009E4E37" w:rsidRDefault="009E4E37" w:rsidP="009E4E37">
            <w:pPr>
              <w:spacing w:before="100" w:beforeAutospacing="1" w:after="240" w:line="240" w:lineRule="auto"/>
              <w:jc w:val="both"/>
              <w:rPr>
                <w:rFonts w:ascii="Tahoma" w:eastAsia="Times New Roman" w:hAnsi="Tahoma" w:cs="Tahoma"/>
                <w:sz w:val="17"/>
                <w:szCs w:val="17"/>
                <w:lang w:eastAsia="es-PE"/>
              </w:rPr>
            </w:pPr>
            <w:r w:rsidRPr="009E4E37">
              <w:rPr>
                <w:rFonts w:ascii="Tahoma" w:eastAsia="Times New Roman" w:hAnsi="Tahoma" w:cs="Tahoma"/>
                <w:sz w:val="17"/>
                <w:szCs w:val="17"/>
                <w:lang w:eastAsia="es-PE"/>
              </w:rPr>
              <w:t>3. Capitalización de utilidades de libre disposición y del excedente de revaluación, así como modificación del artículo 5° del Estatuto Social referido al capital social.</w:t>
            </w:r>
          </w:p>
          <w:tbl>
            <w:tblPr>
              <w:tblW w:w="0" w:type="auto"/>
              <w:tblCellSpacing w:w="0" w:type="dxa"/>
              <w:tblCellMar>
                <w:left w:w="0" w:type="dxa"/>
                <w:right w:w="0" w:type="dxa"/>
              </w:tblCellMar>
              <w:tblLook w:val="04A0" w:firstRow="1" w:lastRow="0" w:firstColumn="1" w:lastColumn="0" w:noHBand="0" w:noVBand="1"/>
            </w:tblPr>
            <w:tblGrid>
              <w:gridCol w:w="146"/>
              <w:gridCol w:w="2265"/>
              <w:gridCol w:w="236"/>
              <w:gridCol w:w="1067"/>
            </w:tblGrid>
            <w:tr w:rsidR="009E4E37" w:rsidRPr="009E4E37" w:rsidTr="009E4E37">
              <w:trPr>
                <w:tblCellSpacing w:w="0" w:type="dxa"/>
              </w:trPr>
              <w:tc>
                <w:tcPr>
                  <w:tcW w:w="0" w:type="auto"/>
                  <w:hideMark/>
                </w:tcPr>
                <w:p w:rsidR="009E4E37" w:rsidRPr="009E4E37" w:rsidRDefault="009E4E37" w:rsidP="009E4E37">
                  <w:pPr>
                    <w:spacing w:after="0" w:line="240" w:lineRule="auto"/>
                    <w:jc w:val="both"/>
                    <w:rPr>
                      <w:rFonts w:ascii="Tahoma" w:eastAsia="Times New Roman" w:hAnsi="Tahoma" w:cs="Tahoma"/>
                      <w:sz w:val="17"/>
                      <w:szCs w:val="17"/>
                      <w:lang w:eastAsia="es-PE"/>
                    </w:rPr>
                  </w:pPr>
                  <w:r w:rsidRPr="009E4E37">
                    <w:rPr>
                      <w:rFonts w:ascii="Tahoma" w:eastAsia="Times New Roman" w:hAnsi="Tahoma" w:cs="Tahoma"/>
                      <w:sz w:val="17"/>
                      <w:szCs w:val="17"/>
                      <w:lang w:eastAsia="es-PE"/>
                    </w:rPr>
                    <w:t xml:space="preserve">a. </w:t>
                  </w:r>
                </w:p>
              </w:tc>
              <w:tc>
                <w:tcPr>
                  <w:tcW w:w="0" w:type="auto"/>
                  <w:vAlign w:val="center"/>
                  <w:hideMark/>
                </w:tcPr>
                <w:p w:rsidR="009E4E37" w:rsidRPr="009E4E37" w:rsidRDefault="009E4E37" w:rsidP="009E4E37">
                  <w:pPr>
                    <w:spacing w:after="0" w:line="240" w:lineRule="auto"/>
                    <w:jc w:val="both"/>
                    <w:rPr>
                      <w:rFonts w:ascii="Tahoma" w:eastAsia="Times New Roman" w:hAnsi="Tahoma" w:cs="Tahoma"/>
                      <w:sz w:val="17"/>
                      <w:szCs w:val="17"/>
                      <w:lang w:eastAsia="es-PE"/>
                    </w:rPr>
                  </w:pPr>
                  <w:r w:rsidRPr="009E4E37">
                    <w:rPr>
                      <w:rFonts w:ascii="Tahoma" w:eastAsia="Times New Roman" w:hAnsi="Tahoma" w:cs="Tahoma"/>
                      <w:sz w:val="17"/>
                      <w:szCs w:val="17"/>
                      <w:lang w:eastAsia="es-PE"/>
                    </w:rPr>
                    <w:t xml:space="preserve">Capitalización de utilidades de libre disposición </w:t>
                  </w:r>
                </w:p>
              </w:tc>
              <w:tc>
                <w:tcPr>
                  <w:tcW w:w="0" w:type="auto"/>
                  <w:hideMark/>
                </w:tcPr>
                <w:p w:rsidR="009E4E37" w:rsidRDefault="009E4E37" w:rsidP="009E4E37">
                  <w:pPr>
                    <w:spacing w:after="0" w:line="240" w:lineRule="auto"/>
                    <w:jc w:val="both"/>
                    <w:rPr>
                      <w:rFonts w:ascii="Tahoma" w:eastAsia="Times New Roman" w:hAnsi="Tahoma" w:cs="Tahoma"/>
                      <w:sz w:val="17"/>
                      <w:szCs w:val="17"/>
                      <w:lang w:eastAsia="es-PE"/>
                    </w:rPr>
                  </w:pPr>
                </w:p>
                <w:p w:rsidR="009E4E37" w:rsidRPr="009E4E37" w:rsidRDefault="009E4E37" w:rsidP="009E4E37">
                  <w:pPr>
                    <w:spacing w:after="0" w:line="240" w:lineRule="auto"/>
                    <w:jc w:val="both"/>
                    <w:rPr>
                      <w:rFonts w:ascii="Tahoma" w:eastAsia="Times New Roman" w:hAnsi="Tahoma" w:cs="Tahoma"/>
                      <w:sz w:val="17"/>
                      <w:szCs w:val="17"/>
                      <w:lang w:eastAsia="es-PE"/>
                    </w:rPr>
                  </w:pPr>
                  <w:r w:rsidRPr="009E4E37">
                    <w:rPr>
                      <w:rFonts w:ascii="Tahoma" w:eastAsia="Times New Roman" w:hAnsi="Tahoma" w:cs="Tahoma"/>
                      <w:sz w:val="17"/>
                      <w:szCs w:val="17"/>
                      <w:lang w:eastAsia="es-PE"/>
                    </w:rPr>
                    <w:t xml:space="preserve">S/. </w:t>
                  </w:r>
                </w:p>
              </w:tc>
              <w:tc>
                <w:tcPr>
                  <w:tcW w:w="0" w:type="auto"/>
                  <w:hideMark/>
                </w:tcPr>
                <w:p w:rsidR="009E4E37" w:rsidRDefault="009E4E37" w:rsidP="009E4E37">
                  <w:pPr>
                    <w:spacing w:after="0" w:line="240" w:lineRule="auto"/>
                    <w:jc w:val="both"/>
                    <w:rPr>
                      <w:rFonts w:ascii="Tahoma" w:eastAsia="Times New Roman" w:hAnsi="Tahoma" w:cs="Tahoma"/>
                      <w:sz w:val="17"/>
                      <w:szCs w:val="17"/>
                      <w:lang w:eastAsia="es-PE"/>
                    </w:rPr>
                  </w:pPr>
                </w:p>
                <w:p w:rsidR="009E4E37" w:rsidRPr="009E4E37" w:rsidRDefault="009E4E37" w:rsidP="009E4E37">
                  <w:pPr>
                    <w:spacing w:after="0" w:line="240" w:lineRule="auto"/>
                    <w:jc w:val="both"/>
                    <w:rPr>
                      <w:rFonts w:ascii="Tahoma" w:eastAsia="Times New Roman" w:hAnsi="Tahoma" w:cs="Tahoma"/>
                      <w:sz w:val="17"/>
                      <w:szCs w:val="17"/>
                      <w:lang w:eastAsia="es-PE"/>
                    </w:rPr>
                  </w:pPr>
                  <w:r w:rsidRPr="009E4E37">
                    <w:rPr>
                      <w:rFonts w:ascii="Tahoma" w:eastAsia="Times New Roman" w:hAnsi="Tahoma" w:cs="Tahoma"/>
                      <w:sz w:val="17"/>
                      <w:szCs w:val="17"/>
                      <w:lang w:eastAsia="es-PE"/>
                    </w:rPr>
                    <w:t xml:space="preserve">92’670,501.00 </w:t>
                  </w:r>
                </w:p>
              </w:tc>
            </w:tr>
            <w:tr w:rsidR="009E4E37" w:rsidRPr="009E4E37" w:rsidTr="009E4E37">
              <w:trPr>
                <w:tblCellSpacing w:w="0" w:type="dxa"/>
              </w:trPr>
              <w:tc>
                <w:tcPr>
                  <w:tcW w:w="0" w:type="auto"/>
                  <w:hideMark/>
                </w:tcPr>
                <w:p w:rsidR="009E4E37" w:rsidRPr="009E4E37" w:rsidRDefault="009E4E37" w:rsidP="009E4E37">
                  <w:pPr>
                    <w:spacing w:after="0" w:line="240" w:lineRule="auto"/>
                    <w:jc w:val="both"/>
                    <w:rPr>
                      <w:rFonts w:ascii="Tahoma" w:eastAsia="Times New Roman" w:hAnsi="Tahoma" w:cs="Tahoma"/>
                      <w:sz w:val="17"/>
                      <w:szCs w:val="17"/>
                      <w:lang w:eastAsia="es-PE"/>
                    </w:rPr>
                  </w:pPr>
                  <w:r w:rsidRPr="009E4E37">
                    <w:rPr>
                      <w:rFonts w:ascii="Tahoma" w:eastAsia="Times New Roman" w:hAnsi="Tahoma" w:cs="Tahoma"/>
                      <w:sz w:val="17"/>
                      <w:szCs w:val="17"/>
                      <w:lang w:eastAsia="es-PE"/>
                    </w:rPr>
                    <w:t xml:space="preserve">b. </w:t>
                  </w:r>
                </w:p>
              </w:tc>
              <w:tc>
                <w:tcPr>
                  <w:tcW w:w="0" w:type="auto"/>
                  <w:vAlign w:val="center"/>
                  <w:hideMark/>
                </w:tcPr>
                <w:p w:rsidR="009E4E37" w:rsidRPr="009E4E37" w:rsidRDefault="009E4E37" w:rsidP="009E4E37">
                  <w:pPr>
                    <w:spacing w:after="0" w:line="240" w:lineRule="auto"/>
                    <w:jc w:val="both"/>
                    <w:rPr>
                      <w:rFonts w:ascii="Tahoma" w:eastAsia="Times New Roman" w:hAnsi="Tahoma" w:cs="Tahoma"/>
                      <w:sz w:val="17"/>
                      <w:szCs w:val="17"/>
                      <w:lang w:eastAsia="es-PE"/>
                    </w:rPr>
                  </w:pPr>
                  <w:r w:rsidRPr="009E4E37">
                    <w:rPr>
                      <w:rFonts w:ascii="Tahoma" w:eastAsia="Times New Roman" w:hAnsi="Tahoma" w:cs="Tahoma"/>
                      <w:sz w:val="17"/>
                      <w:szCs w:val="17"/>
                      <w:lang w:eastAsia="es-PE"/>
                    </w:rPr>
                    <w:t xml:space="preserve">Capitalización parcial del excedente de revaluación </w:t>
                  </w:r>
                </w:p>
              </w:tc>
              <w:tc>
                <w:tcPr>
                  <w:tcW w:w="0" w:type="auto"/>
                  <w:hideMark/>
                </w:tcPr>
                <w:p w:rsidR="009E4E37" w:rsidRPr="009E4E37" w:rsidRDefault="009E4E37" w:rsidP="009E4E37">
                  <w:pPr>
                    <w:spacing w:after="0" w:line="240" w:lineRule="auto"/>
                    <w:jc w:val="both"/>
                    <w:rPr>
                      <w:rFonts w:ascii="Tahoma" w:eastAsia="Times New Roman" w:hAnsi="Tahoma" w:cs="Tahoma"/>
                      <w:sz w:val="17"/>
                      <w:szCs w:val="17"/>
                      <w:lang w:eastAsia="es-PE"/>
                    </w:rPr>
                  </w:pPr>
                  <w:r>
                    <w:rPr>
                      <w:rFonts w:ascii="Tahoma" w:eastAsia="Times New Roman" w:hAnsi="Tahoma" w:cs="Tahoma"/>
                      <w:sz w:val="17"/>
                      <w:szCs w:val="17"/>
                      <w:lang w:eastAsia="es-PE"/>
                    </w:rPr>
                    <w:t xml:space="preserve"> </w:t>
                  </w:r>
                  <w:r w:rsidRPr="009E4E37">
                    <w:rPr>
                      <w:rFonts w:ascii="Tahoma" w:eastAsia="Times New Roman" w:hAnsi="Tahoma" w:cs="Tahoma"/>
                      <w:sz w:val="17"/>
                      <w:szCs w:val="17"/>
                      <w:lang w:eastAsia="es-PE"/>
                    </w:rPr>
                    <w:t xml:space="preserve">S/. </w:t>
                  </w:r>
                </w:p>
              </w:tc>
              <w:tc>
                <w:tcPr>
                  <w:tcW w:w="0" w:type="auto"/>
                  <w:hideMark/>
                </w:tcPr>
                <w:p w:rsidR="009E4E37" w:rsidRDefault="009E4E37" w:rsidP="009E4E37">
                  <w:pPr>
                    <w:spacing w:after="0" w:line="240" w:lineRule="auto"/>
                    <w:jc w:val="both"/>
                    <w:rPr>
                      <w:rFonts w:ascii="Tahoma" w:eastAsia="Times New Roman" w:hAnsi="Tahoma" w:cs="Tahoma"/>
                      <w:sz w:val="17"/>
                      <w:szCs w:val="17"/>
                      <w:lang w:eastAsia="es-PE"/>
                    </w:rPr>
                  </w:pPr>
                  <w:r>
                    <w:rPr>
                      <w:rFonts w:ascii="Tahoma" w:eastAsia="Times New Roman" w:hAnsi="Tahoma" w:cs="Tahoma"/>
                      <w:sz w:val="17"/>
                      <w:szCs w:val="17"/>
                      <w:lang w:eastAsia="es-PE"/>
                    </w:rPr>
                    <w:t xml:space="preserve">  </w:t>
                  </w:r>
                </w:p>
                <w:p w:rsidR="009E4E37" w:rsidRPr="009E4E37" w:rsidRDefault="009E4E37" w:rsidP="009E4E37">
                  <w:pPr>
                    <w:spacing w:after="0" w:line="240" w:lineRule="auto"/>
                    <w:jc w:val="both"/>
                    <w:rPr>
                      <w:rFonts w:ascii="Tahoma" w:eastAsia="Times New Roman" w:hAnsi="Tahoma" w:cs="Tahoma"/>
                      <w:sz w:val="17"/>
                      <w:szCs w:val="17"/>
                      <w:lang w:eastAsia="es-PE"/>
                    </w:rPr>
                  </w:pPr>
                  <w:r w:rsidRPr="009E4E37">
                    <w:rPr>
                      <w:rFonts w:ascii="Tahoma" w:eastAsia="Times New Roman" w:hAnsi="Tahoma" w:cs="Tahoma"/>
                      <w:sz w:val="17"/>
                      <w:szCs w:val="17"/>
                      <w:lang w:eastAsia="es-PE"/>
                    </w:rPr>
                    <w:t xml:space="preserve">3,516.70 </w:t>
                  </w:r>
                </w:p>
              </w:tc>
            </w:tr>
            <w:tr w:rsidR="009E4E37" w:rsidRPr="009E4E37" w:rsidTr="009E4E37">
              <w:trPr>
                <w:tblCellSpacing w:w="0" w:type="dxa"/>
              </w:trPr>
              <w:tc>
                <w:tcPr>
                  <w:tcW w:w="0" w:type="auto"/>
                  <w:vAlign w:val="center"/>
                  <w:hideMark/>
                </w:tcPr>
                <w:p w:rsidR="009E4E37" w:rsidRPr="009E4E37" w:rsidRDefault="009E4E37" w:rsidP="009E4E37">
                  <w:pPr>
                    <w:spacing w:after="0" w:line="240" w:lineRule="auto"/>
                    <w:jc w:val="both"/>
                    <w:rPr>
                      <w:rFonts w:ascii="Tahoma" w:eastAsia="Times New Roman" w:hAnsi="Tahoma" w:cs="Tahoma"/>
                      <w:sz w:val="17"/>
                      <w:szCs w:val="17"/>
                      <w:lang w:eastAsia="es-PE"/>
                    </w:rPr>
                  </w:pPr>
                </w:p>
              </w:tc>
              <w:tc>
                <w:tcPr>
                  <w:tcW w:w="0" w:type="auto"/>
                  <w:vAlign w:val="center"/>
                  <w:hideMark/>
                </w:tcPr>
                <w:p w:rsidR="009E4E37" w:rsidRPr="009E4E37" w:rsidRDefault="009E4E37" w:rsidP="009E4E37">
                  <w:pPr>
                    <w:spacing w:after="0" w:line="240" w:lineRule="auto"/>
                    <w:jc w:val="both"/>
                    <w:rPr>
                      <w:rFonts w:ascii="Tahoma" w:eastAsia="Times New Roman" w:hAnsi="Tahoma" w:cs="Tahoma"/>
                      <w:sz w:val="17"/>
                      <w:szCs w:val="17"/>
                      <w:lang w:eastAsia="es-PE"/>
                    </w:rPr>
                  </w:pPr>
                </w:p>
              </w:tc>
              <w:tc>
                <w:tcPr>
                  <w:tcW w:w="0" w:type="auto"/>
                  <w:tcBorders>
                    <w:top w:val="single" w:sz="6" w:space="0" w:color="000033"/>
                  </w:tcBorders>
                  <w:shd w:val="clear" w:color="auto" w:fill="FFFFFF"/>
                  <w:vAlign w:val="center"/>
                  <w:hideMark/>
                </w:tcPr>
                <w:p w:rsidR="009E4E37" w:rsidRPr="009E4E37" w:rsidRDefault="009E4E37" w:rsidP="009E4E37">
                  <w:pPr>
                    <w:spacing w:after="0" w:line="240" w:lineRule="auto"/>
                    <w:jc w:val="both"/>
                    <w:rPr>
                      <w:rFonts w:ascii="Tahoma" w:eastAsia="Times New Roman" w:hAnsi="Tahoma" w:cs="Tahoma"/>
                      <w:sz w:val="17"/>
                      <w:szCs w:val="17"/>
                      <w:lang w:eastAsia="es-PE"/>
                    </w:rPr>
                  </w:pPr>
                  <w:r w:rsidRPr="009E4E37">
                    <w:rPr>
                      <w:rFonts w:ascii="Tahoma" w:eastAsia="Times New Roman" w:hAnsi="Tahoma" w:cs="Tahoma"/>
                      <w:sz w:val="17"/>
                      <w:szCs w:val="17"/>
                      <w:lang w:eastAsia="es-PE"/>
                    </w:rPr>
                    <w:t xml:space="preserve">S/. </w:t>
                  </w:r>
                </w:p>
              </w:tc>
              <w:tc>
                <w:tcPr>
                  <w:tcW w:w="0" w:type="auto"/>
                  <w:tcBorders>
                    <w:top w:val="single" w:sz="6" w:space="0" w:color="000033"/>
                  </w:tcBorders>
                  <w:shd w:val="clear" w:color="auto" w:fill="FFFFFF"/>
                  <w:vAlign w:val="center"/>
                  <w:hideMark/>
                </w:tcPr>
                <w:p w:rsidR="009E4E37" w:rsidRPr="009E4E37" w:rsidRDefault="009E4E37" w:rsidP="009E4E37">
                  <w:pPr>
                    <w:spacing w:after="0" w:line="240" w:lineRule="auto"/>
                    <w:jc w:val="both"/>
                    <w:rPr>
                      <w:rFonts w:ascii="Tahoma" w:eastAsia="Times New Roman" w:hAnsi="Tahoma" w:cs="Tahoma"/>
                      <w:sz w:val="17"/>
                      <w:szCs w:val="17"/>
                      <w:lang w:eastAsia="es-PE"/>
                    </w:rPr>
                  </w:pPr>
                  <w:r w:rsidRPr="009E4E37">
                    <w:rPr>
                      <w:rFonts w:ascii="Tahoma" w:eastAsia="Times New Roman" w:hAnsi="Tahoma" w:cs="Tahoma"/>
                      <w:sz w:val="17"/>
                      <w:szCs w:val="17"/>
                      <w:lang w:eastAsia="es-PE"/>
                    </w:rPr>
                    <w:t xml:space="preserve">92’674,017.70 </w:t>
                  </w:r>
                </w:p>
              </w:tc>
            </w:tr>
          </w:tbl>
          <w:p w:rsidR="009E4E37" w:rsidRPr="009E4E37" w:rsidRDefault="009E4E37" w:rsidP="009E4E37">
            <w:pPr>
              <w:spacing w:before="100" w:beforeAutospacing="1" w:after="100" w:afterAutospacing="1" w:line="240" w:lineRule="auto"/>
              <w:rPr>
                <w:rFonts w:ascii="Tahoma" w:eastAsia="Times New Roman" w:hAnsi="Tahoma" w:cs="Tahoma"/>
                <w:sz w:val="17"/>
                <w:szCs w:val="17"/>
                <w:lang w:eastAsia="es-PE"/>
              </w:rPr>
            </w:pPr>
            <w:r w:rsidRPr="009E4E37">
              <w:rPr>
                <w:rFonts w:ascii="Tahoma" w:eastAsia="Times New Roman" w:hAnsi="Tahoma" w:cs="Tahoma"/>
                <w:sz w:val="17"/>
                <w:szCs w:val="17"/>
                <w:lang w:eastAsia="es-PE"/>
              </w:rPr>
              <w:br/>
              <w:t xml:space="preserve">Con la capitalización, el capital social actual de S/. 530’961,159.30 se incrementará a la suma de S/ 623’635,177.00, representado por 566’941,070 acciones de un valor nominal de S/. 1.10 cada una. En consecuencia, se emitirán 84’249,107 acciones, es decir un incremento de 17.4540107269 % en el número de acciones emitidas. </w:t>
            </w:r>
            <w:r w:rsidRPr="009E4E37">
              <w:rPr>
                <w:rFonts w:ascii="Tahoma" w:eastAsia="Times New Roman" w:hAnsi="Tahoma" w:cs="Tahoma"/>
                <w:sz w:val="17"/>
                <w:szCs w:val="17"/>
                <w:lang w:eastAsia="es-PE"/>
              </w:rPr>
              <w:br/>
            </w:r>
            <w:r w:rsidRPr="009E4E37">
              <w:rPr>
                <w:rFonts w:ascii="Tahoma" w:eastAsia="Times New Roman" w:hAnsi="Tahoma" w:cs="Tahoma"/>
                <w:sz w:val="17"/>
                <w:szCs w:val="17"/>
                <w:lang w:eastAsia="es-PE"/>
              </w:rPr>
              <w:br/>
              <w:t>4. Modificación del artículo 5° del Estatuto Social referente al capital social, estableciéndose que el nuevo capital social será de S/ 623’635,177.00, representado por 566’941,070 acciones de un valor nominal de S/. 1.10 cada una.</w:t>
            </w:r>
            <w:r w:rsidRPr="009E4E37">
              <w:rPr>
                <w:rFonts w:ascii="Tahoma" w:eastAsia="Times New Roman" w:hAnsi="Tahoma" w:cs="Tahoma"/>
                <w:sz w:val="17"/>
                <w:szCs w:val="17"/>
                <w:lang w:eastAsia="es-PE"/>
              </w:rPr>
              <w:br/>
            </w:r>
            <w:r w:rsidRPr="009E4E37">
              <w:rPr>
                <w:rFonts w:ascii="Tahoma" w:eastAsia="Times New Roman" w:hAnsi="Tahoma" w:cs="Tahoma"/>
                <w:sz w:val="17"/>
                <w:szCs w:val="17"/>
                <w:lang w:eastAsia="es-PE"/>
              </w:rPr>
              <w:br/>
              <w:t xml:space="preserve">5. Variación del valor nominal de las acciones de S/.1.10 a S/. 1.00 y modificación del artículo 5° del Estatuto Social señalando que el capital social es de S/. 623’635,177.00, representado por 623’635,177 acciones de un valor nominal de S/. 1.00 cada una. </w:t>
            </w:r>
            <w:r w:rsidRPr="009E4E37">
              <w:rPr>
                <w:rFonts w:ascii="Tahoma" w:eastAsia="Times New Roman" w:hAnsi="Tahoma" w:cs="Tahoma"/>
                <w:sz w:val="17"/>
                <w:szCs w:val="17"/>
                <w:lang w:eastAsia="es-PE"/>
              </w:rPr>
              <w:br/>
            </w:r>
            <w:r w:rsidRPr="009E4E37">
              <w:rPr>
                <w:rFonts w:ascii="Tahoma" w:eastAsia="Times New Roman" w:hAnsi="Tahoma" w:cs="Tahoma"/>
                <w:sz w:val="17"/>
                <w:szCs w:val="17"/>
                <w:lang w:eastAsia="es-PE"/>
              </w:rPr>
              <w:br/>
              <w:t>6. Delegación al Directorio del nombramiento de Auditores Externos respecto al Ejercicio 2011.</w:t>
            </w:r>
            <w:r w:rsidRPr="009E4E37">
              <w:rPr>
                <w:rFonts w:ascii="Tahoma" w:eastAsia="Times New Roman" w:hAnsi="Tahoma" w:cs="Tahoma"/>
                <w:sz w:val="17"/>
                <w:szCs w:val="17"/>
                <w:lang w:eastAsia="es-PE"/>
              </w:rPr>
              <w:br/>
            </w:r>
            <w:r w:rsidRPr="009E4E37">
              <w:rPr>
                <w:rFonts w:ascii="Tahoma" w:eastAsia="Times New Roman" w:hAnsi="Tahoma" w:cs="Tahoma"/>
                <w:sz w:val="17"/>
                <w:szCs w:val="17"/>
                <w:lang w:eastAsia="es-PE"/>
              </w:rPr>
              <w:br/>
              <w:t xml:space="preserve">7. Aumento de capital social mediante la emisión de hasta 90’000,000 de acciones, con un valor nominal de S/. 1.00 cada una más una prima de emisión que será fijada por el directorio, cuya colocación se realizará en una o varias oportunidades, mediante la suscripción preferente de acciones por parte de los accionistas a través de nuevos aportes y de una </w:t>
            </w:r>
            <w:r w:rsidRPr="009E4E37">
              <w:rPr>
                <w:rFonts w:ascii="Tahoma" w:eastAsia="Times New Roman" w:hAnsi="Tahoma" w:cs="Tahoma"/>
                <w:sz w:val="17"/>
                <w:szCs w:val="17"/>
                <w:lang w:eastAsia="es-PE"/>
              </w:rPr>
              <w:lastRenderedPageBreak/>
              <w:t>oferta pública de existir un saldo de acciones no suscritas por estos en segunda rueda.</w:t>
            </w:r>
            <w:r w:rsidRPr="009E4E37">
              <w:rPr>
                <w:rFonts w:ascii="Tahoma" w:eastAsia="Times New Roman" w:hAnsi="Tahoma" w:cs="Tahoma"/>
                <w:sz w:val="17"/>
                <w:szCs w:val="17"/>
                <w:lang w:eastAsia="es-PE"/>
              </w:rPr>
              <w:br/>
            </w:r>
            <w:r w:rsidRPr="009E4E37">
              <w:rPr>
                <w:rFonts w:ascii="Tahoma" w:eastAsia="Times New Roman" w:hAnsi="Tahoma" w:cs="Tahoma"/>
                <w:sz w:val="17"/>
                <w:szCs w:val="17"/>
                <w:lang w:eastAsia="es-PE"/>
              </w:rPr>
              <w:br/>
              <w:t>8. Delegación en el directorio de la facultad de realizar el aumento de capital mencionado en el punto anterior, en un plazo máximo de doce meses, en las oportunidades, los montos parciales y las condiciones que el directorio determine dentro de las facultades delegadas, conforme al numeral 2 del artículo 206° de la Ley General de Sociedades, incluyendo la facultad de modificar el artículo 5° del Estatuto Social.</w:t>
            </w:r>
            <w:r w:rsidRPr="009E4E37">
              <w:rPr>
                <w:rFonts w:ascii="Tahoma" w:eastAsia="Times New Roman" w:hAnsi="Tahoma" w:cs="Tahoma"/>
                <w:sz w:val="17"/>
                <w:szCs w:val="17"/>
                <w:lang w:eastAsia="es-PE"/>
              </w:rPr>
              <w:br/>
            </w:r>
            <w:bookmarkStart w:id="0" w:name="_GoBack"/>
            <w:bookmarkEnd w:id="0"/>
            <w:r w:rsidRPr="009E4E37">
              <w:rPr>
                <w:rFonts w:ascii="Tahoma" w:eastAsia="Times New Roman" w:hAnsi="Tahoma" w:cs="Tahoma"/>
                <w:sz w:val="17"/>
                <w:szCs w:val="17"/>
                <w:lang w:eastAsia="es-PE"/>
              </w:rPr>
              <w:br/>
              <w:t xml:space="preserve">9. Elección del directorio para el período 2011 – 2014. Se acordó incrementar el número de miembros de 8 a 10 directores, habiéndose nombrado a las siguientes personas: </w:t>
            </w:r>
            <w:r w:rsidRPr="009E4E37">
              <w:rPr>
                <w:rFonts w:ascii="Tahoma" w:eastAsia="Times New Roman" w:hAnsi="Tahoma" w:cs="Tahoma"/>
                <w:sz w:val="17"/>
                <w:szCs w:val="17"/>
                <w:lang w:eastAsia="es-PE"/>
              </w:rPr>
              <w:br/>
            </w:r>
            <w:r w:rsidRPr="009E4E37">
              <w:rPr>
                <w:rFonts w:ascii="Tahoma" w:eastAsia="Times New Roman" w:hAnsi="Tahoma" w:cs="Tahoma"/>
                <w:sz w:val="17"/>
                <w:szCs w:val="17"/>
                <w:lang w:eastAsia="es-PE"/>
              </w:rPr>
              <w:br/>
              <w:t>Sr. Oscar Guillermo Espinosa Bedoya</w:t>
            </w:r>
            <w:r w:rsidRPr="009E4E37">
              <w:rPr>
                <w:rFonts w:ascii="Tahoma" w:eastAsia="Times New Roman" w:hAnsi="Tahoma" w:cs="Tahoma"/>
                <w:sz w:val="17"/>
                <w:szCs w:val="17"/>
                <w:lang w:eastAsia="es-PE"/>
              </w:rPr>
              <w:br/>
              <w:t xml:space="preserve">Sr. Carlos </w:t>
            </w:r>
            <w:proofErr w:type="spellStart"/>
            <w:r w:rsidRPr="009E4E37">
              <w:rPr>
                <w:rFonts w:ascii="Tahoma" w:eastAsia="Times New Roman" w:hAnsi="Tahoma" w:cs="Tahoma"/>
                <w:sz w:val="17"/>
                <w:szCs w:val="17"/>
                <w:lang w:eastAsia="es-PE"/>
              </w:rPr>
              <w:t>Ferreyros</w:t>
            </w:r>
            <w:proofErr w:type="spellEnd"/>
            <w:r w:rsidRPr="009E4E37">
              <w:rPr>
                <w:rFonts w:ascii="Tahoma" w:eastAsia="Times New Roman" w:hAnsi="Tahoma" w:cs="Tahoma"/>
                <w:sz w:val="17"/>
                <w:szCs w:val="17"/>
                <w:lang w:eastAsia="es-PE"/>
              </w:rPr>
              <w:t xml:space="preserve"> </w:t>
            </w:r>
            <w:proofErr w:type="spellStart"/>
            <w:r w:rsidRPr="009E4E37">
              <w:rPr>
                <w:rFonts w:ascii="Tahoma" w:eastAsia="Times New Roman" w:hAnsi="Tahoma" w:cs="Tahoma"/>
                <w:sz w:val="17"/>
                <w:szCs w:val="17"/>
                <w:lang w:eastAsia="es-PE"/>
              </w:rPr>
              <w:t>Aspíllaga</w:t>
            </w:r>
            <w:proofErr w:type="spellEnd"/>
            <w:r w:rsidRPr="009E4E37">
              <w:rPr>
                <w:rFonts w:ascii="Tahoma" w:eastAsia="Times New Roman" w:hAnsi="Tahoma" w:cs="Tahoma"/>
                <w:sz w:val="17"/>
                <w:szCs w:val="17"/>
                <w:lang w:eastAsia="es-PE"/>
              </w:rPr>
              <w:br/>
              <w:t>Sr. Eduardo Montero Aramburú</w:t>
            </w:r>
            <w:r w:rsidRPr="009E4E37">
              <w:rPr>
                <w:rFonts w:ascii="Tahoma" w:eastAsia="Times New Roman" w:hAnsi="Tahoma" w:cs="Tahoma"/>
                <w:sz w:val="17"/>
                <w:szCs w:val="17"/>
                <w:lang w:eastAsia="es-PE"/>
              </w:rPr>
              <w:br/>
              <w:t>Sr. Juan Manuel Peña Roca</w:t>
            </w:r>
            <w:r w:rsidRPr="009E4E37">
              <w:rPr>
                <w:rFonts w:ascii="Tahoma" w:eastAsia="Times New Roman" w:hAnsi="Tahoma" w:cs="Tahoma"/>
                <w:sz w:val="17"/>
                <w:szCs w:val="17"/>
                <w:lang w:eastAsia="es-PE"/>
              </w:rPr>
              <w:br/>
              <w:t xml:space="preserve">Sr. Andreas von </w:t>
            </w:r>
            <w:proofErr w:type="spellStart"/>
            <w:r w:rsidRPr="009E4E37">
              <w:rPr>
                <w:rFonts w:ascii="Tahoma" w:eastAsia="Times New Roman" w:hAnsi="Tahoma" w:cs="Tahoma"/>
                <w:sz w:val="17"/>
                <w:szCs w:val="17"/>
                <w:lang w:eastAsia="es-PE"/>
              </w:rPr>
              <w:t>Wedemeyer</w:t>
            </w:r>
            <w:proofErr w:type="spellEnd"/>
            <w:r w:rsidRPr="009E4E37">
              <w:rPr>
                <w:rFonts w:ascii="Tahoma" w:eastAsia="Times New Roman" w:hAnsi="Tahoma" w:cs="Tahoma"/>
                <w:sz w:val="17"/>
                <w:szCs w:val="17"/>
                <w:lang w:eastAsia="es-PE"/>
              </w:rPr>
              <w:t xml:space="preserve"> </w:t>
            </w:r>
            <w:proofErr w:type="spellStart"/>
            <w:r w:rsidRPr="009E4E37">
              <w:rPr>
                <w:rFonts w:ascii="Tahoma" w:eastAsia="Times New Roman" w:hAnsi="Tahoma" w:cs="Tahoma"/>
                <w:sz w:val="17"/>
                <w:szCs w:val="17"/>
                <w:lang w:eastAsia="es-PE"/>
              </w:rPr>
              <w:t>Knigge</w:t>
            </w:r>
            <w:proofErr w:type="spellEnd"/>
            <w:r w:rsidRPr="009E4E37">
              <w:rPr>
                <w:rFonts w:ascii="Tahoma" w:eastAsia="Times New Roman" w:hAnsi="Tahoma" w:cs="Tahoma"/>
                <w:sz w:val="17"/>
                <w:szCs w:val="17"/>
                <w:lang w:eastAsia="es-PE"/>
              </w:rPr>
              <w:br/>
              <w:t xml:space="preserve">Sr. Aldo Renato </w:t>
            </w:r>
            <w:proofErr w:type="spellStart"/>
            <w:r w:rsidRPr="009E4E37">
              <w:rPr>
                <w:rFonts w:ascii="Tahoma" w:eastAsia="Times New Roman" w:hAnsi="Tahoma" w:cs="Tahoma"/>
                <w:sz w:val="17"/>
                <w:szCs w:val="17"/>
                <w:lang w:eastAsia="es-PE"/>
              </w:rPr>
              <w:t>Defilippi</w:t>
            </w:r>
            <w:proofErr w:type="spellEnd"/>
            <w:r w:rsidRPr="009E4E37">
              <w:rPr>
                <w:rFonts w:ascii="Tahoma" w:eastAsia="Times New Roman" w:hAnsi="Tahoma" w:cs="Tahoma"/>
                <w:sz w:val="17"/>
                <w:szCs w:val="17"/>
                <w:lang w:eastAsia="es-PE"/>
              </w:rPr>
              <w:t xml:space="preserve"> Traverso</w:t>
            </w:r>
            <w:r w:rsidRPr="009E4E37">
              <w:rPr>
                <w:rFonts w:ascii="Tahoma" w:eastAsia="Times New Roman" w:hAnsi="Tahoma" w:cs="Tahoma"/>
                <w:sz w:val="17"/>
                <w:szCs w:val="17"/>
                <w:lang w:eastAsia="es-PE"/>
              </w:rPr>
              <w:br/>
              <w:t xml:space="preserve">Sra. Carmen Rosa Graham </w:t>
            </w:r>
            <w:proofErr w:type="spellStart"/>
            <w:r w:rsidRPr="009E4E37">
              <w:rPr>
                <w:rFonts w:ascii="Tahoma" w:eastAsia="Times New Roman" w:hAnsi="Tahoma" w:cs="Tahoma"/>
                <w:sz w:val="17"/>
                <w:szCs w:val="17"/>
                <w:lang w:eastAsia="es-PE"/>
              </w:rPr>
              <w:t>Ayllón</w:t>
            </w:r>
            <w:proofErr w:type="spellEnd"/>
            <w:r w:rsidRPr="009E4E37">
              <w:rPr>
                <w:rFonts w:ascii="Tahoma" w:eastAsia="Times New Roman" w:hAnsi="Tahoma" w:cs="Tahoma"/>
                <w:sz w:val="17"/>
                <w:szCs w:val="17"/>
                <w:lang w:eastAsia="es-PE"/>
              </w:rPr>
              <w:br/>
              <w:t>Sr. Ricardo Briceño Villena</w:t>
            </w:r>
            <w:r w:rsidRPr="009E4E37">
              <w:rPr>
                <w:rFonts w:ascii="Tahoma" w:eastAsia="Times New Roman" w:hAnsi="Tahoma" w:cs="Tahoma"/>
                <w:sz w:val="17"/>
                <w:szCs w:val="17"/>
                <w:lang w:eastAsia="es-PE"/>
              </w:rPr>
              <w:br/>
              <w:t>Sr. Raúl Ortiz de Zevallos Ferrand</w:t>
            </w:r>
            <w:r w:rsidRPr="009E4E37">
              <w:rPr>
                <w:rFonts w:ascii="Tahoma" w:eastAsia="Times New Roman" w:hAnsi="Tahoma" w:cs="Tahoma"/>
                <w:sz w:val="17"/>
                <w:szCs w:val="17"/>
                <w:lang w:eastAsia="es-PE"/>
              </w:rPr>
              <w:br/>
              <w:t>Sr. Manuel Bustamante Olivares</w:t>
            </w:r>
            <w:r w:rsidRPr="009E4E37">
              <w:rPr>
                <w:rFonts w:ascii="Tahoma" w:eastAsia="Times New Roman" w:hAnsi="Tahoma" w:cs="Tahoma"/>
                <w:sz w:val="17"/>
                <w:szCs w:val="17"/>
                <w:lang w:eastAsia="es-PE"/>
              </w:rPr>
              <w:br/>
            </w:r>
            <w:r w:rsidRPr="009E4E37">
              <w:rPr>
                <w:rFonts w:ascii="Tahoma" w:eastAsia="Times New Roman" w:hAnsi="Tahoma" w:cs="Tahoma"/>
                <w:sz w:val="17"/>
                <w:szCs w:val="17"/>
                <w:lang w:eastAsia="es-PE"/>
              </w:rPr>
              <w:br/>
              <w:t xml:space="preserve">10. Delegación de facultades al Presidente Ejecutivo señor Oscar Guillermo Espinosa Bedoya y a la Gerente General señora Mariela </w:t>
            </w:r>
            <w:proofErr w:type="spellStart"/>
            <w:r w:rsidRPr="009E4E37">
              <w:rPr>
                <w:rFonts w:ascii="Tahoma" w:eastAsia="Times New Roman" w:hAnsi="Tahoma" w:cs="Tahoma"/>
                <w:sz w:val="17"/>
                <w:szCs w:val="17"/>
                <w:lang w:eastAsia="es-PE"/>
              </w:rPr>
              <w:t>Garcia</w:t>
            </w:r>
            <w:proofErr w:type="spellEnd"/>
            <w:r w:rsidRPr="009E4E37">
              <w:rPr>
                <w:rFonts w:ascii="Tahoma" w:eastAsia="Times New Roman" w:hAnsi="Tahoma" w:cs="Tahoma"/>
                <w:sz w:val="17"/>
                <w:szCs w:val="17"/>
                <w:lang w:eastAsia="es-PE"/>
              </w:rPr>
              <w:t xml:space="preserve"> </w:t>
            </w:r>
            <w:proofErr w:type="spellStart"/>
            <w:r w:rsidRPr="009E4E37">
              <w:rPr>
                <w:rFonts w:ascii="Tahoma" w:eastAsia="Times New Roman" w:hAnsi="Tahoma" w:cs="Tahoma"/>
                <w:sz w:val="17"/>
                <w:szCs w:val="17"/>
                <w:lang w:eastAsia="es-PE"/>
              </w:rPr>
              <w:t>Figari</w:t>
            </w:r>
            <w:proofErr w:type="spellEnd"/>
            <w:r w:rsidRPr="009E4E37">
              <w:rPr>
                <w:rFonts w:ascii="Tahoma" w:eastAsia="Times New Roman" w:hAnsi="Tahoma" w:cs="Tahoma"/>
                <w:sz w:val="17"/>
                <w:szCs w:val="17"/>
                <w:lang w:eastAsia="es-PE"/>
              </w:rPr>
              <w:t xml:space="preserve"> de </w:t>
            </w:r>
            <w:proofErr w:type="spellStart"/>
            <w:r w:rsidRPr="009E4E37">
              <w:rPr>
                <w:rFonts w:ascii="Tahoma" w:eastAsia="Times New Roman" w:hAnsi="Tahoma" w:cs="Tahoma"/>
                <w:sz w:val="17"/>
                <w:szCs w:val="17"/>
                <w:lang w:eastAsia="es-PE"/>
              </w:rPr>
              <w:t>Fabbri</w:t>
            </w:r>
            <w:proofErr w:type="spellEnd"/>
            <w:r w:rsidRPr="009E4E37">
              <w:rPr>
                <w:rFonts w:ascii="Tahoma" w:eastAsia="Times New Roman" w:hAnsi="Tahoma" w:cs="Tahoma"/>
                <w:sz w:val="17"/>
                <w:szCs w:val="17"/>
                <w:lang w:eastAsia="es-PE"/>
              </w:rPr>
              <w:t>, para suscribir documentos públicos y/o privados respecto de los acuerdos adoptados por la Junta de Accionistas.</w:t>
            </w:r>
          </w:p>
        </w:tc>
        <w:tc>
          <w:tcPr>
            <w:tcW w:w="20" w:type="dxa"/>
            <w:vAlign w:val="center"/>
            <w:hideMark/>
          </w:tcPr>
          <w:p w:rsidR="009E4E37" w:rsidRPr="009E4E37" w:rsidRDefault="009E4E37" w:rsidP="009E4E37">
            <w:pPr>
              <w:spacing w:after="0" w:line="240" w:lineRule="auto"/>
              <w:rPr>
                <w:rFonts w:ascii="Times New Roman" w:eastAsia="Times New Roman" w:hAnsi="Times New Roman" w:cs="Times New Roman"/>
                <w:sz w:val="20"/>
                <w:szCs w:val="20"/>
                <w:lang w:eastAsia="es-PE"/>
              </w:rPr>
            </w:pPr>
          </w:p>
        </w:tc>
      </w:tr>
    </w:tbl>
    <w:p w:rsidR="001428B4" w:rsidRDefault="001428B4"/>
    <w:sectPr w:rsidR="001428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37"/>
    <w:rsid w:val="001428B4"/>
    <w:rsid w:val="009E4E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4E3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9E4E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4E3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9E4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335797">
      <w:bodyDiv w:val="1"/>
      <w:marLeft w:val="0"/>
      <w:marRight w:val="0"/>
      <w:marTop w:val="0"/>
      <w:marBottom w:val="0"/>
      <w:divBdr>
        <w:top w:val="none" w:sz="0" w:space="0" w:color="auto"/>
        <w:left w:val="none" w:sz="0" w:space="0" w:color="auto"/>
        <w:bottom w:val="none" w:sz="0" w:space="0" w:color="auto"/>
        <w:right w:val="none" w:sz="0" w:space="0" w:color="auto"/>
      </w:divBdr>
      <w:divsChild>
        <w:div w:id="1025862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2864</Characters>
  <Application>Microsoft Office Word</Application>
  <DocSecurity>0</DocSecurity>
  <Lines>23</Lines>
  <Paragraphs>6</Paragraphs>
  <ScaleCrop>false</ScaleCrop>
  <Company>Ferreyros S.A.A.</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Tamayo Maertens</dc:creator>
  <cp:lastModifiedBy>Elizabeth Tamayo Maertens</cp:lastModifiedBy>
  <cp:revision>1</cp:revision>
  <dcterms:created xsi:type="dcterms:W3CDTF">2012-08-27T21:43:00Z</dcterms:created>
  <dcterms:modified xsi:type="dcterms:W3CDTF">2012-08-27T21:45:00Z</dcterms:modified>
</cp:coreProperties>
</file>