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3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20"/>
      </w:tblGrid>
      <w:tr w:rsidR="00940F6C" w:rsidRPr="00940F6C" w:rsidTr="00940F6C">
        <w:trPr>
          <w:trHeight w:val="300"/>
          <w:tblCellSpacing w:w="0" w:type="dxa"/>
        </w:trPr>
        <w:tc>
          <w:tcPr>
            <w:tcW w:w="3714" w:type="dxa"/>
            <w:hideMark/>
          </w:tcPr>
          <w:p w:rsidR="00940F6C" w:rsidRPr="00940F6C" w:rsidRDefault="00940F6C" w:rsidP="00940F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940F6C">
              <w:rPr>
                <w:rFonts w:ascii="Tahoma" w:eastAsia="Times New Roman" w:hAnsi="Tahoma" w:cs="Tahoma"/>
                <w:b/>
                <w:bCs/>
                <w:color w:val="349729"/>
                <w:sz w:val="17"/>
                <w:szCs w:val="17"/>
                <w:lang w:eastAsia="es-PE"/>
              </w:rPr>
              <w:t>Acuerdos de Junta de Accionistas 2006</w:t>
            </w:r>
          </w:p>
        </w:tc>
        <w:tc>
          <w:tcPr>
            <w:tcW w:w="20" w:type="dxa"/>
            <w:vAlign w:val="center"/>
            <w:hideMark/>
          </w:tcPr>
          <w:p w:rsidR="00940F6C" w:rsidRPr="00940F6C" w:rsidRDefault="00940F6C" w:rsidP="00940F6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</w:tr>
      <w:tr w:rsidR="00940F6C" w:rsidRPr="00940F6C" w:rsidTr="00940F6C">
        <w:trPr>
          <w:tblCellSpacing w:w="0" w:type="dxa"/>
        </w:trPr>
        <w:tc>
          <w:tcPr>
            <w:tcW w:w="3714" w:type="dxa"/>
            <w:vAlign w:val="center"/>
            <w:hideMark/>
          </w:tcPr>
          <w:p w:rsidR="00940F6C" w:rsidRPr="00940F6C" w:rsidRDefault="00940F6C" w:rsidP="00940F6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 xml:space="preserve">Informamos que en la Junta General Obligatoria Anual de Accionistas de </w:t>
            </w:r>
            <w:proofErr w:type="spellStart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Ferreyros</w:t>
            </w:r>
            <w:proofErr w:type="spellEnd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 S.A.A., celebrada el día 28 de marzo de 2006, se acordaron por unanimidad los siguientes temas de agenda:</w:t>
            </w:r>
          </w:p>
          <w:p w:rsidR="00940F6C" w:rsidRPr="00940F6C" w:rsidRDefault="00940F6C" w:rsidP="00940F6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1. Aprobación de los Estados Financieros y Memoria correspondiente al año 2005.</w:t>
            </w:r>
          </w:p>
          <w:p w:rsidR="00940F6C" w:rsidRPr="00940F6C" w:rsidRDefault="00940F6C" w:rsidP="00940F6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2. Distribución de un dividendo en efectivo de S/. 13</w:t>
            </w:r>
            <w:proofErr w:type="gramStart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,308,900.00</w:t>
            </w:r>
            <w:proofErr w:type="gramEnd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 equivalente al 5% del capital social (S/. 266’178,000.00), correspondiendo S/. 0.055 por acción de un valor nominal de S/. 1.10, de acuerdo con la política de dividendos de la empresa. Se aprobó que este dividendo se </w:t>
            </w:r>
            <w:proofErr w:type="gramStart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abonará</w:t>
            </w:r>
            <w:proofErr w:type="gramEnd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 en una sola oportunidad, dentro de los próximos 60 días calendario, en fecha que determine el Directorio.</w:t>
            </w:r>
          </w:p>
          <w:p w:rsidR="00940F6C" w:rsidRPr="00940F6C" w:rsidRDefault="00940F6C" w:rsidP="00940F6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3. Capitalización de las siguientes cuentas, según los importes que se detallan a continuación: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791"/>
              <w:gridCol w:w="1554"/>
            </w:tblGrid>
            <w:tr w:rsidR="00940F6C" w:rsidRPr="00940F6C" w:rsidTr="00940F6C">
              <w:trPr>
                <w:tblCellSpacing w:w="15" w:type="dxa"/>
              </w:trPr>
              <w:tc>
                <w:tcPr>
                  <w:tcW w:w="450" w:type="pct"/>
                  <w:vAlign w:val="center"/>
                  <w:hideMark/>
                </w:tcPr>
                <w:p w:rsidR="00940F6C" w:rsidRPr="00940F6C" w:rsidRDefault="00940F6C" w:rsidP="00940F6C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940F6C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a.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940F6C" w:rsidRPr="00940F6C" w:rsidRDefault="00940F6C" w:rsidP="00940F6C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940F6C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Capitalización de utilidades de libre disposición</w:t>
                  </w:r>
                </w:p>
              </w:tc>
              <w:tc>
                <w:tcPr>
                  <w:tcW w:w="2100" w:type="pct"/>
                  <w:vAlign w:val="center"/>
                  <w:hideMark/>
                </w:tcPr>
                <w:p w:rsidR="00940F6C" w:rsidRPr="00940F6C" w:rsidRDefault="00940F6C" w:rsidP="00940F6C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940F6C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S/. 13’818,926.00</w:t>
                  </w:r>
                </w:p>
              </w:tc>
            </w:tr>
            <w:tr w:rsidR="00940F6C" w:rsidRPr="00940F6C" w:rsidTr="00940F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F6C" w:rsidRPr="00940F6C" w:rsidRDefault="00940F6C" w:rsidP="00940F6C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940F6C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F6C" w:rsidRPr="00940F6C" w:rsidRDefault="00940F6C" w:rsidP="00940F6C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940F6C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Capitalización parcial del excedente de revaluación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40F6C" w:rsidRPr="00940F6C" w:rsidRDefault="00940F6C" w:rsidP="00940F6C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940F6C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S/. 4’199,074.00</w:t>
                  </w:r>
                </w:p>
              </w:tc>
            </w:tr>
            <w:tr w:rsidR="00940F6C" w:rsidRPr="00940F6C" w:rsidTr="00940F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F6C" w:rsidRPr="00940F6C" w:rsidRDefault="00940F6C" w:rsidP="00940F6C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F6C" w:rsidRPr="00940F6C" w:rsidRDefault="00940F6C" w:rsidP="00940F6C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F6C" w:rsidRPr="00940F6C" w:rsidRDefault="00940F6C" w:rsidP="00940F6C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940F6C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S/. 18’018,000.00</w:t>
                  </w:r>
                </w:p>
              </w:tc>
            </w:tr>
          </w:tbl>
          <w:p w:rsidR="00940F6C" w:rsidRPr="00940F6C" w:rsidRDefault="00940F6C" w:rsidP="00940F6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Con la capitalización, el capital social actual de S/. 266’178,000.00 se incrementará a la suma de S/ 284’196,000.00, representado por 258</w:t>
            </w:r>
            <w:proofErr w:type="gramStart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,360,000</w:t>
            </w:r>
            <w:proofErr w:type="gramEnd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 acciones de un valor nominal de S/. 1.10 cada una. En consecuencia, se emitirán 16’380,0000 acciones, es decir un incremento de 6.76925447558 % en el número de acciones emitidas.</w:t>
            </w: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</w: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>4. Modificación del artículo 5° del Estatuto Social referente al capital social, estableciéndose que el nuevo capital social será de S/. 284’196,000.00, representado por 258</w:t>
            </w:r>
            <w:proofErr w:type="gramStart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,360,000</w:t>
            </w:r>
            <w:proofErr w:type="gramEnd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 acciones de un valor nominal de S/. 1.10 cada una.</w:t>
            </w: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</w: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>5. Delegación al Directorio del nombramiento de Auditores Externos, así como la determinación del monto de los honorarios.</w:t>
            </w: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</w: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>6. Aprobación para la inscripción de un programa mixto de Bonos Corporativos y Papeles Comerciales hasta por US$ 90’000,000.00 y delegación de facultades al Directorio y a la Gerencia para fijar las condiciones del mismo.</w:t>
            </w: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</w: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br/>
              <w:t xml:space="preserve">7. Delegación de facultades al Directorio para la aprobación de cualquier ajuste contable que sea necesario realizar en el valor neto del bloque </w:t>
            </w:r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lastRenderedPageBreak/>
              <w:t xml:space="preserve">patrimonial escindido de </w:t>
            </w:r>
            <w:proofErr w:type="spellStart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Motorindustria</w:t>
            </w:r>
            <w:proofErr w:type="spellEnd"/>
            <w:r w:rsidRPr="00940F6C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 S.A., cuyos valores fueron determinados al 30 de noviembre de 2004. </w:t>
            </w:r>
          </w:p>
        </w:tc>
        <w:tc>
          <w:tcPr>
            <w:tcW w:w="20" w:type="dxa"/>
            <w:vAlign w:val="center"/>
            <w:hideMark/>
          </w:tcPr>
          <w:p w:rsidR="00940F6C" w:rsidRPr="00940F6C" w:rsidRDefault="00940F6C" w:rsidP="0094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bookmarkStart w:id="0" w:name="_GoBack"/>
        <w:bookmarkEnd w:id="0"/>
      </w:tr>
    </w:tbl>
    <w:p w:rsidR="00A82E05" w:rsidRDefault="00A82E05"/>
    <w:sectPr w:rsidR="00A82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6C"/>
    <w:rsid w:val="00940F6C"/>
    <w:rsid w:val="00A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940F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940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1804</Characters>
  <Application>Microsoft Office Word</Application>
  <DocSecurity>0</DocSecurity>
  <Lines>15</Lines>
  <Paragraphs>4</Paragraphs>
  <ScaleCrop>false</ScaleCrop>
  <Company>Ferreyros S.A.A.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Tamayo Maertens</dc:creator>
  <cp:lastModifiedBy>Elizabeth Tamayo Maertens</cp:lastModifiedBy>
  <cp:revision>1</cp:revision>
  <dcterms:created xsi:type="dcterms:W3CDTF">2012-08-28T17:32:00Z</dcterms:created>
  <dcterms:modified xsi:type="dcterms:W3CDTF">2012-08-28T17:33:00Z</dcterms:modified>
</cp:coreProperties>
</file>